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0262" w14:textId="0EE3D5A7" w:rsidR="00073429" w:rsidRDefault="000F4E3E">
      <w:r w:rsidRPr="00357CCF">
        <w:rPr>
          <w:b/>
          <w:bCs/>
        </w:rPr>
        <w:t>L'acculturation des études de genre en histoire du droit. Le défi de l'ANR HLJPGenre</w:t>
      </w:r>
    </w:p>
    <w:p w14:paraId="74831683" w14:textId="55882AE1" w:rsidR="000F4E3E" w:rsidRDefault="000F4E3E">
      <w:r>
        <w:t xml:space="preserve">Si l’état d’acculturation des études de genre varie selon les disciplines de sciences humaines et sociales, l’histoire du droit - discipline universitaire du droit autonome à l’instar du droit public et du droit privé - en est </w:t>
      </w:r>
      <w:r w:rsidR="002E4832">
        <w:t>au début</w:t>
      </w:r>
      <w:r>
        <w:t xml:space="preserve"> d</w:t>
      </w:r>
      <w:r w:rsidR="00564B8B">
        <w:t>u</w:t>
      </w:r>
      <w:r>
        <w:t xml:space="preserve"> processus : à savoir une quête de légitimité</w:t>
      </w:r>
      <w:r w:rsidR="00111356">
        <w:t xml:space="preserve">, </w:t>
      </w:r>
      <w:r>
        <w:t>d’assise institutionnelle</w:t>
      </w:r>
      <w:r w:rsidR="002E4832">
        <w:t xml:space="preserve">. Ceci </w:t>
      </w:r>
      <w:r w:rsidR="00BE78BF">
        <w:t xml:space="preserve">d’une part </w:t>
      </w:r>
      <w:r w:rsidR="002E4832">
        <w:t xml:space="preserve">afin </w:t>
      </w:r>
      <w:r>
        <w:t xml:space="preserve">d’éviter aux </w:t>
      </w:r>
      <w:r w:rsidR="002E4832">
        <w:t>historien.nes du droit</w:t>
      </w:r>
      <w:r>
        <w:t xml:space="preserve"> qui se sont saisi.es des études de genre d’être marginalisé.es et d</w:t>
      </w:r>
      <w:r w:rsidR="00BE78BF">
        <w:t>’autre part de</w:t>
      </w:r>
      <w:r>
        <w:t xml:space="preserve"> développer les recherches dans ce sens, à la fois dans l’intérêt d’un renouvellement des approches et des paradigmes en histoire du droit, mais également </w:t>
      </w:r>
      <w:r w:rsidR="002E4832">
        <w:t>d’un enrichissement d</w:t>
      </w:r>
      <w:r>
        <w:t>es études de genre</w:t>
      </w:r>
      <w:r w:rsidR="002E4832">
        <w:t xml:space="preserve"> par l’adjonction d</w:t>
      </w:r>
      <w:r w:rsidR="00111356">
        <w:t>es travaux d’</w:t>
      </w:r>
      <w:r w:rsidR="002E4832">
        <w:t xml:space="preserve">une nouvelle discipline, </w:t>
      </w:r>
      <w:r w:rsidR="00574274">
        <w:t xml:space="preserve">avec ses objets et méthodes scientifiques spécifiques. </w:t>
      </w:r>
    </w:p>
    <w:p w14:paraId="6BB3A869" w14:textId="77777777" w:rsidR="008A086D" w:rsidRDefault="00574274">
      <w:r>
        <w:t>Dans ce contexte</w:t>
      </w:r>
      <w:r w:rsidR="00225B38">
        <w:t>,</w:t>
      </w:r>
      <w:r>
        <w:t xml:space="preserve"> le projet ANR HLJPGenre entend relever le défi, d’abord en identifiant puis en fédérant les pionnier.es des études de genre dans la discipline, en formant </w:t>
      </w:r>
      <w:proofErr w:type="gramStart"/>
      <w:r w:rsidR="00FC0FE0">
        <w:t>les chercheur</w:t>
      </w:r>
      <w:proofErr w:type="gramEnd"/>
      <w:r>
        <w:t>.euses intéressé.es par celles-ci</w:t>
      </w:r>
      <w:r w:rsidR="00F5089A">
        <w:t xml:space="preserve"> et</w:t>
      </w:r>
      <w:r>
        <w:t xml:space="preserve"> en mettant en place un dialogue interdisciplinaire facilité par la connexité des disciplines : le droit positif, l’histoire et en particulier l’histoire de la justice, la sociologie </w:t>
      </w:r>
      <w:r w:rsidR="00BE78BF">
        <w:t>et, notamment,</w:t>
      </w:r>
      <w:r>
        <w:t xml:space="preserve"> la socio-histoire du droit. </w:t>
      </w:r>
    </w:p>
    <w:p w14:paraId="01BF029C" w14:textId="03235583" w:rsidR="003F5BE2" w:rsidRDefault="008A086D">
      <w:r>
        <w:t>Une</w:t>
      </w:r>
      <w:r w:rsidR="00574274">
        <w:t xml:space="preserve"> grille de lecture d’une analyse genrée du droit</w:t>
      </w:r>
      <w:r w:rsidR="00225B38">
        <w:t>,</w:t>
      </w:r>
      <w:r>
        <w:t xml:space="preserve"> </w:t>
      </w:r>
      <w:r w:rsidR="00B13FE0" w:rsidRPr="00B13FE0">
        <w:rPr>
          <w:i/>
          <w:iCs/>
        </w:rPr>
        <w:t>sui generis</w:t>
      </w:r>
      <w:r w:rsidR="00574274">
        <w:t xml:space="preserve">, intégrant les spécificités de </w:t>
      </w:r>
      <w:proofErr w:type="gramStart"/>
      <w:r w:rsidR="00574274">
        <w:t>l’histoire</w:t>
      </w:r>
      <w:proofErr w:type="gramEnd"/>
      <w:r w:rsidR="00574274">
        <w:t xml:space="preserve"> du droit</w:t>
      </w:r>
      <w:r w:rsidR="00B13FE0">
        <w:t xml:space="preserve"> et une approche intersectionnelle</w:t>
      </w:r>
      <w:r>
        <w:t xml:space="preserve"> a été élaborée</w:t>
      </w:r>
      <w:r w:rsidR="00574274">
        <w:t xml:space="preserve">. </w:t>
      </w:r>
      <w:r w:rsidR="003F5BE2">
        <w:t>Les premiers résultats port</w:t>
      </w:r>
      <w:r w:rsidR="00AA028F">
        <w:t>a</w:t>
      </w:r>
      <w:r w:rsidR="003F5BE2">
        <w:t>nt sur l’analyse genrée du discours juridique</w:t>
      </w:r>
      <w:r w:rsidR="00564B8B">
        <w:t xml:space="preserve"> - </w:t>
      </w:r>
      <w:r w:rsidR="003F5BE2">
        <w:t xml:space="preserve">loi formelle, loi au sens large, doctrine, débats parlementaires en droit pénal, </w:t>
      </w:r>
      <w:r w:rsidR="00BE78BF">
        <w:t xml:space="preserve">droit pénitentiaire, </w:t>
      </w:r>
      <w:r w:rsidR="003F5BE2">
        <w:t xml:space="preserve">droit de la famille et droit social depuis la Révolution </w:t>
      </w:r>
      <w:r w:rsidR="00564B8B">
        <w:t xml:space="preserve">- </w:t>
      </w:r>
      <w:r w:rsidR="003F5BE2">
        <w:t>sont particulièrement féconds. En effet</w:t>
      </w:r>
      <w:r w:rsidR="00225B38">
        <w:t>,</w:t>
      </w:r>
      <w:r w:rsidR="003F5BE2">
        <w:t xml:space="preserve"> la richesse et la complexité de l’apport du genre amène</w:t>
      </w:r>
      <w:r w:rsidR="00CE6F9E">
        <w:t>nt</w:t>
      </w:r>
      <w:r w:rsidR="003F5BE2">
        <w:t xml:space="preserve"> à des résultats contre-intuitifs par rapport aux </w:t>
      </w:r>
      <w:r w:rsidR="00FC0FE0">
        <w:t>hypothèses</w:t>
      </w:r>
      <w:r w:rsidR="003F5BE2">
        <w:t xml:space="preserve"> initiales</w:t>
      </w:r>
      <w:r w:rsidR="00CE6F9E">
        <w:t>.</w:t>
      </w:r>
      <w:r w:rsidR="003F5BE2">
        <w:t xml:space="preserve"> </w:t>
      </w:r>
      <w:r w:rsidR="00CE6F9E">
        <w:t>L</w:t>
      </w:r>
      <w:r w:rsidR="00BE78BF">
        <w:t xml:space="preserve">es exemples de la loi révolutionnaire sur l’avortement, sur le divorce, ou encore </w:t>
      </w:r>
      <w:r w:rsidR="00564B8B">
        <w:t xml:space="preserve">de </w:t>
      </w:r>
      <w:r w:rsidR="00BE78BF">
        <w:t xml:space="preserve">la loi de 1900 sur l’accès des femmes à la profession d’avocate seront mobilisés pour illustrer le propos et montreront </w:t>
      </w:r>
      <w:r w:rsidR="00B13FE0">
        <w:t>également</w:t>
      </w:r>
      <w:r w:rsidR="00BE78BF">
        <w:t xml:space="preserve"> comment l’histoire du droit peut enrichir l’analyse d</w:t>
      </w:r>
      <w:r w:rsidR="00F5089A">
        <w:t>e sujets</w:t>
      </w:r>
      <w:r w:rsidR="00BE78BF">
        <w:t xml:space="preserve"> déjà étudiés sous le prisme du genre par d’autres disciplines, en l’occurrence l’histoire et la sociologie</w:t>
      </w:r>
      <w:r w:rsidR="00F5089A">
        <w:t>, invitant ainsi à l’ouverture d’un dialogue pluridisciplinaire</w:t>
      </w:r>
      <w:r w:rsidR="00BE78BF">
        <w:t xml:space="preserve">.  </w:t>
      </w:r>
    </w:p>
    <w:p w14:paraId="7D943503" w14:textId="7D38657F" w:rsidR="00357CCF" w:rsidRDefault="00357CCF">
      <w:r>
        <w:rPr>
          <w:noProof/>
        </w:rPr>
        <w:drawing>
          <wp:inline distT="0" distB="0" distL="0" distR="0" wp14:anchorId="0A131440" wp14:editId="184DD6DC">
            <wp:extent cx="5760720" cy="13823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C673" w14:textId="1353587D" w:rsidR="00357CCF" w:rsidRDefault="00357CCF">
      <w:r>
        <w:rPr>
          <w:noProof/>
        </w:rPr>
        <w:lastRenderedPageBreak/>
        <w:drawing>
          <wp:inline distT="0" distB="0" distL="0" distR="0" wp14:anchorId="016E5971" wp14:editId="4A92DB90">
            <wp:extent cx="1538089" cy="175260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21" cy="17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6629D" w14:textId="7BB20B81" w:rsidR="00357CCF" w:rsidRDefault="00357CCF"/>
    <w:p w14:paraId="78705869" w14:textId="6CEC2D68" w:rsidR="00357CCF" w:rsidRDefault="00357CCF">
      <w:r>
        <w:rPr>
          <w:noProof/>
        </w:rPr>
        <w:drawing>
          <wp:inline distT="0" distB="0" distL="0" distR="0" wp14:anchorId="35A29D74" wp14:editId="5AA620F8">
            <wp:extent cx="1746250" cy="902229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00" cy="9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EA30" w14:textId="3632A39A" w:rsidR="00E87A66" w:rsidRDefault="00E87A66">
      <w:r>
        <w:rPr>
          <w:noProof/>
        </w:rPr>
        <w:drawing>
          <wp:inline distT="0" distB="0" distL="0" distR="0" wp14:anchorId="4FBB236F" wp14:editId="37F061A9">
            <wp:extent cx="1066800" cy="9906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68DEB" w14:textId="304F3E5F" w:rsidR="00357CCF" w:rsidRDefault="00357CCF"/>
    <w:p w14:paraId="6B189FB8" w14:textId="631C5EB1" w:rsidR="00357CCF" w:rsidRDefault="00357CCF">
      <w:r>
        <w:rPr>
          <w:noProof/>
        </w:rPr>
        <w:drawing>
          <wp:inline distT="0" distB="0" distL="0" distR="0" wp14:anchorId="5269925A" wp14:editId="0697362B">
            <wp:extent cx="2165350" cy="190550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42" cy="190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3E"/>
    <w:rsid w:val="00073429"/>
    <w:rsid w:val="000F4E3E"/>
    <w:rsid w:val="00111356"/>
    <w:rsid w:val="00225B38"/>
    <w:rsid w:val="002E4832"/>
    <w:rsid w:val="00357CCF"/>
    <w:rsid w:val="003A2D78"/>
    <w:rsid w:val="003F5BE2"/>
    <w:rsid w:val="00551E4B"/>
    <w:rsid w:val="00564B8B"/>
    <w:rsid w:val="00574274"/>
    <w:rsid w:val="007D0D94"/>
    <w:rsid w:val="007D27EF"/>
    <w:rsid w:val="008A086D"/>
    <w:rsid w:val="00AA028F"/>
    <w:rsid w:val="00B13FE0"/>
    <w:rsid w:val="00BB2761"/>
    <w:rsid w:val="00BE78BF"/>
    <w:rsid w:val="00CE6F9E"/>
    <w:rsid w:val="00E87A66"/>
    <w:rsid w:val="00F5089A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31C2"/>
  <w15:chartTrackingRefBased/>
  <w15:docId w15:val="{BE7EC2B4-B0D9-4361-8B5D-63FE842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E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25B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Duffuler-Vialle</dc:creator>
  <cp:keywords/>
  <dc:description/>
  <cp:lastModifiedBy>Hélène Duffuler-Vialle</cp:lastModifiedBy>
  <cp:revision>3</cp:revision>
  <dcterms:created xsi:type="dcterms:W3CDTF">2023-03-20T08:22:00Z</dcterms:created>
  <dcterms:modified xsi:type="dcterms:W3CDTF">2023-03-20T08:47:00Z</dcterms:modified>
</cp:coreProperties>
</file>